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D8848">
      <w:pPr>
        <w:spacing w:line="240" w:lineRule="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附件1：</w:t>
      </w:r>
    </w:p>
    <w:p w14:paraId="79C5C284">
      <w:pPr>
        <w:spacing w:line="240" w:lineRule="auto"/>
        <w:rPr>
          <w:rFonts w:hint="eastAsia" w:ascii="黑体" w:hAnsi="黑体" w:eastAsia="黑体" w:cs="黑体"/>
          <w:sz w:val="32"/>
          <w:szCs w:val="36"/>
          <w:lang w:val="en-US" w:eastAsia="zh-CN"/>
        </w:rPr>
      </w:pPr>
    </w:p>
    <w:p w14:paraId="5FB5DA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val="0"/>
          <w:bCs w:val="0"/>
          <w:sz w:val="44"/>
          <w:szCs w:val="44"/>
        </w:rPr>
      </w:pPr>
      <w:bookmarkStart w:id="0" w:name="_GoBack"/>
      <w:r>
        <w:rPr>
          <w:rFonts w:hint="eastAsia" w:ascii="方正公文小标宋" w:hAnsi="方正公文小标宋" w:eastAsia="方正公文小标宋" w:cs="方正公文小标宋"/>
          <w:b w:val="0"/>
          <w:bCs w:val="0"/>
          <w:sz w:val="44"/>
          <w:szCs w:val="44"/>
        </w:rPr>
        <w:t>湖北省高等教育学会2025年度</w:t>
      </w:r>
    </w:p>
    <w:p w14:paraId="0786B8A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课题选题指南</w:t>
      </w:r>
    </w:p>
    <w:bookmarkEnd w:id="0"/>
    <w:p w14:paraId="6CF05D6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bCs/>
          <w:sz w:val="36"/>
          <w:szCs w:val="40"/>
          <w:lang w:val="en-US" w:eastAsia="zh-CN"/>
        </w:rPr>
      </w:pPr>
    </w:p>
    <w:p w14:paraId="20DA1240">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一、指南</w:t>
      </w:r>
      <w:r>
        <w:rPr>
          <w:rFonts w:hint="eastAsia" w:ascii="黑体" w:hAnsi="黑体" w:eastAsia="黑体" w:cs="黑体"/>
          <w:b/>
          <w:bCs/>
          <w:sz w:val="32"/>
          <w:szCs w:val="32"/>
        </w:rPr>
        <w:t>说明</w:t>
      </w:r>
    </w:p>
    <w:p w14:paraId="61BF216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本课题指南仅供申报参考。申报者应围绕全国教育大会和湖北省教育工作会议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教育强国建设规划纲要2024-2035》</w:t>
      </w:r>
      <w:r>
        <w:rPr>
          <w:rFonts w:hint="eastAsia" w:ascii="仿宋_GB2312" w:hAnsi="仿宋_GB2312" w:eastAsia="仿宋_GB2312" w:cs="仿宋_GB2312"/>
          <w:sz w:val="32"/>
          <w:szCs w:val="32"/>
        </w:rPr>
        <w:t>对高等教育的新部署、新要求，结合湖北省高等教育改革发展的重点、难点和热点问题，着力破解制约高等教育高质量发展的突出短板和深层次问题，确定研究</w:t>
      </w:r>
      <w:r>
        <w:rPr>
          <w:rFonts w:hint="eastAsia" w:ascii="仿宋_GB2312" w:hAnsi="仿宋_GB2312" w:eastAsia="仿宋_GB2312" w:cs="仿宋_GB2312"/>
          <w:sz w:val="32"/>
          <w:szCs w:val="32"/>
          <w:lang w:val="en-US" w:eastAsia="zh-CN"/>
        </w:rPr>
        <w:t>选题</w:t>
      </w:r>
      <w:r>
        <w:rPr>
          <w:rFonts w:hint="eastAsia" w:ascii="仿宋_GB2312" w:hAnsi="仿宋_GB2312" w:eastAsia="仿宋_GB2312" w:cs="仿宋_GB2312"/>
          <w:sz w:val="32"/>
          <w:szCs w:val="32"/>
        </w:rPr>
        <w:t>。</w:t>
      </w:r>
    </w:p>
    <w:p w14:paraId="68745F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二、学会资助课题</w:t>
      </w:r>
    </w:p>
    <w:p w14:paraId="3C6099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仿宋_GB2312" w:hAnsi="仿宋_GB2312" w:eastAsia="仿宋_GB2312" w:cs="仿宋_GB2312"/>
          <w:b/>
          <w:bCs/>
          <w:sz w:val="32"/>
          <w:szCs w:val="36"/>
          <w:lang w:val="en-US" w:eastAsia="zh-CN"/>
        </w:rPr>
      </w:pPr>
      <w:r>
        <w:rPr>
          <w:rFonts w:hint="eastAsia" w:ascii="仿宋_GB2312" w:hAnsi="仿宋_GB2312" w:eastAsia="仿宋_GB2312" w:cs="仿宋_GB2312"/>
          <w:b/>
          <w:bCs/>
          <w:sz w:val="32"/>
          <w:szCs w:val="36"/>
          <w:lang w:val="en-US" w:eastAsia="zh-CN"/>
        </w:rPr>
        <w:t>（一）学术成果专项课题</w:t>
      </w:r>
    </w:p>
    <w:p w14:paraId="5C9B2BFC">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1.</w:t>
      </w:r>
      <w:r>
        <w:rPr>
          <w:rFonts w:hint="eastAsia" w:ascii="仿宋_GB2312" w:hAnsi="仿宋_GB2312" w:eastAsia="仿宋_GB2312" w:cs="仿宋_GB2312"/>
          <w:sz w:val="32"/>
          <w:szCs w:val="36"/>
        </w:rPr>
        <w:t>习近平总书记关于教育强国重要论述的研究</w:t>
      </w:r>
    </w:p>
    <w:p w14:paraId="26B34863">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2.</w:t>
      </w:r>
      <w:r>
        <w:rPr>
          <w:rFonts w:hint="eastAsia" w:ascii="仿宋_GB2312" w:hAnsi="仿宋_GB2312" w:eastAsia="仿宋_GB2312" w:cs="仿宋_GB2312"/>
          <w:sz w:val="32"/>
          <w:szCs w:val="36"/>
          <w:lang w:val="en-US" w:eastAsia="zh-CN"/>
        </w:rPr>
        <w:t>教育家精神铸魂强师研究</w:t>
      </w:r>
    </w:p>
    <w:p w14:paraId="0FE1A231">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rPr>
      </w:pPr>
      <w:r>
        <w:rPr>
          <w:rFonts w:hint="eastAsia" w:ascii="仿宋_GB2312" w:hAnsi="仿宋_GB2312" w:eastAsia="仿宋_GB2312" w:cs="仿宋_GB2312"/>
          <w:kern w:val="2"/>
          <w:sz w:val="32"/>
          <w:szCs w:val="36"/>
          <w:lang w:val="en-US" w:eastAsia="zh-CN" w:bidi="ar-SA"/>
        </w:rPr>
        <w:t>3.</w:t>
      </w:r>
      <w:r>
        <w:rPr>
          <w:rFonts w:hint="eastAsia" w:ascii="仿宋_GB2312" w:hAnsi="仿宋_GB2312" w:eastAsia="仿宋_GB2312" w:cs="仿宋_GB2312"/>
          <w:sz w:val="32"/>
          <w:szCs w:val="36"/>
          <w:lang w:val="en-US" w:eastAsia="zh-CN"/>
        </w:rPr>
        <w:t>中部地区高等教育竞争力评价研究</w:t>
      </w:r>
    </w:p>
    <w:p w14:paraId="30339F79">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4.</w:t>
      </w:r>
      <w:r>
        <w:rPr>
          <w:rFonts w:hint="eastAsia" w:ascii="仿宋_GB2312" w:hAnsi="仿宋_GB2312" w:eastAsia="仿宋_GB2312" w:cs="仿宋_GB2312"/>
          <w:sz w:val="32"/>
          <w:szCs w:val="36"/>
        </w:rPr>
        <w:t>“四新”</w:t>
      </w:r>
      <w:r>
        <w:rPr>
          <w:rFonts w:hint="eastAsia" w:ascii="仿宋_GB2312" w:hAnsi="仿宋_GB2312" w:eastAsia="仿宋_GB2312" w:cs="仿宋_GB2312"/>
          <w:sz w:val="32"/>
          <w:szCs w:val="36"/>
          <w:lang w:val="en-US" w:eastAsia="zh-CN"/>
        </w:rPr>
        <w:t>2.0</w:t>
      </w:r>
      <w:r>
        <w:rPr>
          <w:rFonts w:hint="eastAsia" w:ascii="仿宋_GB2312" w:hAnsi="仿宋_GB2312" w:eastAsia="仿宋_GB2312" w:cs="仿宋_GB2312"/>
          <w:sz w:val="32"/>
          <w:szCs w:val="36"/>
        </w:rPr>
        <w:t>建设与学科交叉融合</w:t>
      </w:r>
      <w:r>
        <w:rPr>
          <w:rFonts w:hint="eastAsia" w:ascii="仿宋_GB2312" w:hAnsi="仿宋_GB2312" w:eastAsia="仿宋_GB2312" w:cs="仿宋_GB2312"/>
          <w:sz w:val="32"/>
          <w:szCs w:val="36"/>
          <w:lang w:val="en-US" w:eastAsia="zh-CN"/>
        </w:rPr>
        <w:t>研究</w:t>
      </w:r>
    </w:p>
    <w:p w14:paraId="7EA27656">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5.</w:t>
      </w:r>
      <w:r>
        <w:rPr>
          <w:rFonts w:hint="eastAsia" w:ascii="仿宋_GB2312" w:hAnsi="仿宋_GB2312" w:eastAsia="仿宋_GB2312" w:cs="仿宋_GB2312"/>
          <w:sz w:val="32"/>
          <w:szCs w:val="36"/>
        </w:rPr>
        <w:t>人工智能赋能高校教学</w:t>
      </w:r>
      <w:r>
        <w:rPr>
          <w:rFonts w:hint="eastAsia" w:ascii="仿宋_GB2312" w:hAnsi="仿宋_GB2312" w:eastAsia="仿宋_GB2312" w:cs="仿宋_GB2312"/>
          <w:sz w:val="32"/>
          <w:szCs w:val="36"/>
          <w:lang w:val="en-US" w:eastAsia="zh-CN"/>
        </w:rPr>
        <w:t>与科研</w:t>
      </w:r>
      <w:r>
        <w:rPr>
          <w:rFonts w:hint="eastAsia" w:ascii="仿宋_GB2312" w:hAnsi="仿宋_GB2312" w:eastAsia="仿宋_GB2312" w:cs="仿宋_GB2312"/>
          <w:sz w:val="32"/>
          <w:szCs w:val="36"/>
        </w:rPr>
        <w:t>模式创新研究</w:t>
      </w:r>
    </w:p>
    <w:p w14:paraId="6597984F">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6.</w:t>
      </w:r>
      <w:r>
        <w:rPr>
          <w:rFonts w:hint="eastAsia" w:ascii="仿宋_GB2312" w:hAnsi="仿宋_GB2312" w:eastAsia="仿宋_GB2312" w:cs="仿宋_GB2312"/>
          <w:sz w:val="32"/>
          <w:szCs w:val="36"/>
        </w:rPr>
        <w:t>拔尖创新人才早期识别与贯通式培养机制</w:t>
      </w:r>
      <w:r>
        <w:rPr>
          <w:rFonts w:hint="eastAsia" w:ascii="仿宋_GB2312" w:hAnsi="仿宋_GB2312" w:eastAsia="仿宋_GB2312" w:cs="仿宋_GB2312"/>
          <w:sz w:val="32"/>
          <w:szCs w:val="36"/>
          <w:lang w:val="en-US" w:eastAsia="zh-CN"/>
        </w:rPr>
        <w:t>研究</w:t>
      </w:r>
    </w:p>
    <w:p w14:paraId="5B6B281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7.</w:t>
      </w:r>
      <w:r>
        <w:rPr>
          <w:rFonts w:hint="eastAsia" w:ascii="仿宋_GB2312" w:hAnsi="仿宋_GB2312" w:eastAsia="仿宋_GB2312" w:cs="仿宋_GB2312"/>
          <w:sz w:val="32"/>
          <w:szCs w:val="36"/>
          <w:lang w:val="en-US" w:eastAsia="zh-CN"/>
        </w:rPr>
        <w:t>中部地区</w:t>
      </w:r>
      <w:r>
        <w:rPr>
          <w:rFonts w:hint="eastAsia" w:ascii="仿宋_GB2312" w:hAnsi="仿宋_GB2312" w:eastAsia="仿宋_GB2312" w:cs="仿宋_GB2312"/>
          <w:sz w:val="32"/>
          <w:szCs w:val="36"/>
        </w:rPr>
        <w:t>高等教育协同发展的体制机制创新研究</w:t>
      </w:r>
    </w:p>
    <w:p w14:paraId="64564E80">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8.</w:t>
      </w:r>
      <w:r>
        <w:rPr>
          <w:rFonts w:hint="eastAsia" w:ascii="仿宋_GB2312" w:hAnsi="仿宋_GB2312" w:eastAsia="仿宋_GB2312" w:cs="仿宋_GB2312"/>
          <w:sz w:val="32"/>
          <w:szCs w:val="36"/>
        </w:rPr>
        <w:t>区域技术转移</w:t>
      </w:r>
      <w:r>
        <w:rPr>
          <w:rFonts w:hint="eastAsia" w:ascii="仿宋_GB2312" w:hAnsi="仿宋_GB2312" w:eastAsia="仿宋_GB2312" w:cs="仿宋_GB2312"/>
          <w:sz w:val="32"/>
          <w:szCs w:val="36"/>
          <w:lang w:val="en-US" w:eastAsia="zh-CN"/>
        </w:rPr>
        <w:t>与</w:t>
      </w:r>
      <w:r>
        <w:rPr>
          <w:rFonts w:hint="eastAsia" w:ascii="仿宋_GB2312" w:hAnsi="仿宋_GB2312" w:eastAsia="仿宋_GB2312" w:cs="仿宋_GB2312"/>
          <w:sz w:val="32"/>
          <w:szCs w:val="36"/>
        </w:rPr>
        <w:t>高校科技成果转化体系</w:t>
      </w:r>
      <w:r>
        <w:rPr>
          <w:rFonts w:hint="eastAsia" w:ascii="仿宋_GB2312" w:hAnsi="仿宋_GB2312" w:eastAsia="仿宋_GB2312" w:cs="仿宋_GB2312"/>
          <w:sz w:val="32"/>
          <w:szCs w:val="36"/>
          <w:lang w:val="en-US" w:eastAsia="zh-CN"/>
        </w:rPr>
        <w:t>研究</w:t>
      </w:r>
    </w:p>
    <w:p w14:paraId="0B408DA3">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9.</w:t>
      </w:r>
      <w:r>
        <w:rPr>
          <w:rFonts w:hint="eastAsia" w:ascii="仿宋_GB2312" w:hAnsi="仿宋_GB2312" w:eastAsia="仿宋_GB2312" w:cs="仿宋_GB2312"/>
          <w:sz w:val="32"/>
          <w:szCs w:val="36"/>
        </w:rPr>
        <w:t>高等教育支撑湖北新质生产力发展的路径研究</w:t>
      </w:r>
    </w:p>
    <w:p w14:paraId="2EAAE87E">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10.</w:t>
      </w:r>
      <w:r>
        <w:rPr>
          <w:rFonts w:hint="eastAsia" w:ascii="仿宋_GB2312" w:hAnsi="仿宋_GB2312" w:eastAsia="仿宋_GB2312" w:cs="仿宋_GB2312"/>
          <w:sz w:val="32"/>
          <w:szCs w:val="36"/>
        </w:rPr>
        <w:t>高校毕业生就业质量与区域产业升级协同机制研究</w:t>
      </w:r>
    </w:p>
    <w:p w14:paraId="0F01A3B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11.</w:t>
      </w:r>
      <w:r>
        <w:rPr>
          <w:rFonts w:hint="eastAsia" w:ascii="仿宋_GB2312" w:hAnsi="仿宋_GB2312" w:eastAsia="仿宋_GB2312" w:cs="仿宋_GB2312"/>
          <w:sz w:val="32"/>
          <w:szCs w:val="36"/>
        </w:rPr>
        <w:t>湖北高校</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一带一路</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教育合作模式创新研究</w:t>
      </w:r>
    </w:p>
    <w:p w14:paraId="50DBCD71">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kern w:val="2"/>
          <w:sz w:val="32"/>
          <w:szCs w:val="36"/>
          <w:lang w:val="en-US" w:eastAsia="zh-CN" w:bidi="ar-SA"/>
        </w:rPr>
        <w:t>12.</w:t>
      </w:r>
      <w:r>
        <w:rPr>
          <w:rFonts w:hint="eastAsia" w:ascii="仿宋_GB2312" w:hAnsi="仿宋_GB2312" w:eastAsia="仿宋_GB2312" w:cs="仿宋_GB2312"/>
          <w:sz w:val="32"/>
          <w:szCs w:val="36"/>
        </w:rPr>
        <w:t>湖北高校</w:t>
      </w:r>
      <w:r>
        <w:rPr>
          <w:rFonts w:hint="eastAsia" w:ascii="仿宋_GB2312" w:hAnsi="仿宋_GB2312" w:eastAsia="仿宋_GB2312" w:cs="仿宋_GB2312"/>
          <w:sz w:val="32"/>
          <w:szCs w:val="36"/>
          <w:lang w:val="en-US" w:eastAsia="zh-CN"/>
        </w:rPr>
        <w:t>学科专业布局优化</w:t>
      </w:r>
      <w:r>
        <w:rPr>
          <w:rFonts w:hint="eastAsia" w:ascii="仿宋_GB2312" w:hAnsi="仿宋_GB2312" w:eastAsia="仿宋_GB2312" w:cs="仿宋_GB2312"/>
          <w:sz w:val="32"/>
          <w:szCs w:val="36"/>
        </w:rPr>
        <w:t>机制研究</w:t>
      </w:r>
    </w:p>
    <w:p w14:paraId="771F3211">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kern w:val="2"/>
          <w:sz w:val="32"/>
          <w:szCs w:val="36"/>
          <w:lang w:val="en-US" w:eastAsia="zh-CN" w:bidi="ar-SA"/>
        </w:rPr>
        <w:t>13.</w:t>
      </w:r>
      <w:r>
        <w:rPr>
          <w:rFonts w:hint="eastAsia" w:ascii="仿宋_GB2312" w:hAnsi="仿宋_GB2312" w:eastAsia="仿宋_GB2312" w:cs="仿宋_GB2312"/>
          <w:b w:val="0"/>
          <w:bCs w:val="0"/>
          <w:sz w:val="32"/>
          <w:szCs w:val="36"/>
          <w:lang w:val="en-US" w:eastAsia="zh-CN"/>
        </w:rPr>
        <w:t>教育强国建设的理论与实践研究</w:t>
      </w:r>
    </w:p>
    <w:p w14:paraId="132E6931">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kern w:val="2"/>
          <w:sz w:val="32"/>
          <w:szCs w:val="36"/>
          <w:lang w:val="en-US" w:eastAsia="zh-CN" w:bidi="ar-SA"/>
        </w:rPr>
        <w:t>14.</w:t>
      </w:r>
      <w:r>
        <w:rPr>
          <w:rFonts w:hint="eastAsia" w:ascii="仿宋_GB2312" w:hAnsi="仿宋_GB2312" w:eastAsia="仿宋_GB2312" w:cs="仿宋_GB2312"/>
          <w:b w:val="0"/>
          <w:bCs w:val="0"/>
          <w:sz w:val="32"/>
          <w:szCs w:val="36"/>
          <w:lang w:val="en-US" w:eastAsia="zh-CN"/>
        </w:rPr>
        <w:t>教育强国战略背景下教育科技人才一体化推进建设研究</w:t>
      </w:r>
    </w:p>
    <w:p w14:paraId="5B91F42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kern w:val="2"/>
          <w:sz w:val="32"/>
          <w:szCs w:val="36"/>
          <w:lang w:val="en-US" w:eastAsia="zh-CN" w:bidi="ar-SA"/>
        </w:rPr>
        <w:t>15.</w:t>
      </w:r>
      <w:r>
        <w:rPr>
          <w:rFonts w:hint="eastAsia" w:ascii="仿宋_GB2312" w:hAnsi="仿宋_GB2312" w:eastAsia="仿宋_GB2312" w:cs="仿宋_GB2312"/>
          <w:b w:val="0"/>
          <w:bCs w:val="0"/>
          <w:sz w:val="32"/>
          <w:szCs w:val="36"/>
          <w:lang w:val="en-US" w:eastAsia="zh-CN"/>
        </w:rPr>
        <w:t>新时代高校德智体美劳全面培养体系优化研究</w:t>
      </w:r>
    </w:p>
    <w:p w14:paraId="299BF14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16.人工智能时代教师数字素养培育路径研究</w:t>
      </w:r>
    </w:p>
    <w:p w14:paraId="364DBD2B">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pacing w:val="-11"/>
          <w:sz w:val="32"/>
          <w:szCs w:val="36"/>
          <w:lang w:val="en-US" w:eastAsia="zh-CN"/>
        </w:rPr>
      </w:pPr>
      <w:r>
        <w:rPr>
          <w:rFonts w:hint="eastAsia" w:ascii="仿宋_GB2312" w:hAnsi="仿宋_GB2312" w:eastAsia="仿宋_GB2312" w:cs="仿宋_GB2312"/>
          <w:b w:val="0"/>
          <w:bCs w:val="0"/>
          <w:sz w:val="32"/>
          <w:szCs w:val="36"/>
          <w:lang w:val="en-US" w:eastAsia="zh-CN"/>
        </w:rPr>
        <w:t>17.</w:t>
      </w:r>
      <w:r>
        <w:rPr>
          <w:rFonts w:hint="eastAsia" w:ascii="仿宋_GB2312" w:hAnsi="仿宋_GB2312" w:eastAsia="仿宋_GB2312" w:cs="仿宋_GB2312"/>
          <w:b w:val="0"/>
          <w:bCs w:val="0"/>
          <w:spacing w:val="-11"/>
          <w:sz w:val="32"/>
          <w:szCs w:val="36"/>
          <w:lang w:val="en-US" w:eastAsia="zh-CN"/>
        </w:rPr>
        <w:t>高校“人工智能+X”复合型人才培养模式的创新与实践研究</w:t>
      </w:r>
    </w:p>
    <w:p w14:paraId="037801F5">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18.习近平文化思想融入高校课程思政教育体系研究</w:t>
      </w:r>
    </w:p>
    <w:p w14:paraId="047DC408">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19.中部地区高等教育创新共同体构建与协同发展路径研究</w:t>
      </w:r>
    </w:p>
    <w:p w14:paraId="59C8DD73">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20.中部地区高等教育助力教育强国的路径与策略研究</w:t>
      </w:r>
    </w:p>
    <w:p w14:paraId="3FF70017">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21.中部地区高校教育发展研究</w:t>
      </w:r>
    </w:p>
    <w:p w14:paraId="7DFE95A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22.高校专业建设与湖北现代产业集群协同路径研究</w:t>
      </w:r>
    </w:p>
    <w:p w14:paraId="171B9F57">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23.国家战略需求牵引的学科专业动态调整机制研究</w:t>
      </w:r>
    </w:p>
    <w:p w14:paraId="654DFE6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24.湖北省高等教育与新质生产力耦合协调发展研究</w:t>
      </w:r>
    </w:p>
    <w:p w14:paraId="6A78559C">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25.新质生产力赋能高校发展的理论内涵及实践路径研究</w:t>
      </w:r>
    </w:p>
    <w:p w14:paraId="2F15BD0C">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26.元宇宙技术赋能高校实验教学的场景设计与风险治理</w:t>
      </w:r>
    </w:p>
    <w:p w14:paraId="22D3765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27.高校拔尖创新人才发现、选拔与培养机制研究</w:t>
      </w:r>
    </w:p>
    <w:p w14:paraId="2943B69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28.生成式人工智能背景下高校专业课程建设研究</w:t>
      </w:r>
    </w:p>
    <w:p w14:paraId="61C64982">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29.AI赋能大学生学业质量评价效果实证研究</w:t>
      </w:r>
    </w:p>
    <w:p w14:paraId="5CB56A5E">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30.AI赋能高教科研范式创新研究</w:t>
      </w:r>
    </w:p>
    <w:p w14:paraId="478284BE">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31.人工智能驱动的教学范式变革与伦理风险应对</w:t>
      </w:r>
    </w:p>
    <w:p w14:paraId="51B1F08A">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32.AI驱动数字化教育生态的重塑与创新实践</w:t>
      </w:r>
    </w:p>
    <w:p w14:paraId="1835F0E0">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33.人工智能赋能高校科技成果转化效能研究</w:t>
      </w:r>
    </w:p>
    <w:p w14:paraId="3468BD1B">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pacing w:val="-11"/>
          <w:sz w:val="32"/>
          <w:szCs w:val="36"/>
        </w:rPr>
      </w:pPr>
      <w:r>
        <w:rPr>
          <w:rFonts w:hint="eastAsia" w:ascii="仿宋_GB2312" w:hAnsi="仿宋_GB2312" w:eastAsia="仿宋_GB2312" w:cs="仿宋_GB2312"/>
          <w:sz w:val="32"/>
          <w:szCs w:val="36"/>
          <w:lang w:val="en-US" w:eastAsia="zh-CN"/>
        </w:rPr>
        <w:t>34.</w:t>
      </w:r>
      <w:r>
        <w:rPr>
          <w:rFonts w:hint="eastAsia" w:ascii="仿宋_GB2312" w:hAnsi="仿宋_GB2312" w:eastAsia="仿宋_GB2312" w:cs="仿宋_GB2312"/>
          <w:spacing w:val="-11"/>
          <w:sz w:val="32"/>
          <w:szCs w:val="36"/>
        </w:rPr>
        <w:t>数字化赋能高等教育治理体系和治理能力现代化发展研究</w:t>
      </w:r>
    </w:p>
    <w:p w14:paraId="0D097930">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35.数字赋能大规模因材施教有效途径研究</w:t>
      </w:r>
    </w:p>
    <w:p w14:paraId="58A272C9">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36.</w:t>
      </w:r>
      <w:r>
        <w:rPr>
          <w:rFonts w:hint="eastAsia" w:ascii="仿宋_GB2312" w:hAnsi="仿宋_GB2312" w:eastAsia="仿宋_GB2312" w:cs="仿宋_GB2312"/>
          <w:sz w:val="32"/>
          <w:szCs w:val="36"/>
        </w:rPr>
        <w:t>人工智能与高校思想政治教育融合研究</w:t>
      </w:r>
    </w:p>
    <w:p w14:paraId="771D5CD6">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37.</w:t>
      </w:r>
      <w:r>
        <w:rPr>
          <w:rFonts w:hint="eastAsia" w:ascii="仿宋_GB2312" w:hAnsi="仿宋_GB2312" w:eastAsia="仿宋_GB2312" w:cs="仿宋_GB2312"/>
          <w:sz w:val="32"/>
          <w:szCs w:val="36"/>
        </w:rPr>
        <w:t>学术学位</w:t>
      </w:r>
      <w:r>
        <w:rPr>
          <w:rFonts w:hint="eastAsia" w:ascii="仿宋_GB2312" w:hAnsi="仿宋_GB2312" w:eastAsia="仿宋_GB2312" w:cs="仿宋_GB2312"/>
          <w:sz w:val="32"/>
          <w:szCs w:val="36"/>
          <w:lang w:val="en-US" w:eastAsia="zh-CN"/>
        </w:rPr>
        <w:t>与</w:t>
      </w:r>
      <w:r>
        <w:rPr>
          <w:rFonts w:hint="eastAsia" w:ascii="仿宋_GB2312" w:hAnsi="仿宋_GB2312" w:eastAsia="仿宋_GB2312" w:cs="仿宋_GB2312"/>
          <w:sz w:val="32"/>
          <w:szCs w:val="36"/>
        </w:rPr>
        <w:t>专业学位研究生培养模式创新研究</w:t>
      </w:r>
    </w:p>
    <w:p w14:paraId="2700B3F2">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38.</w:t>
      </w:r>
      <w:r>
        <w:rPr>
          <w:rFonts w:hint="eastAsia" w:ascii="仿宋_GB2312" w:hAnsi="仿宋_GB2312" w:eastAsia="仿宋_GB2312" w:cs="仿宋_GB2312"/>
          <w:sz w:val="32"/>
          <w:szCs w:val="36"/>
        </w:rPr>
        <w:t>高校数字课程与优质教学资源共建共享研究</w:t>
      </w:r>
    </w:p>
    <w:p w14:paraId="1A3F1A1E">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39.</w:t>
      </w:r>
      <w:r>
        <w:rPr>
          <w:rFonts w:hint="eastAsia" w:ascii="仿宋_GB2312" w:hAnsi="仿宋_GB2312" w:eastAsia="仿宋_GB2312" w:cs="仿宋_GB2312"/>
          <w:sz w:val="32"/>
          <w:szCs w:val="36"/>
        </w:rPr>
        <w:t>基于知识图谱的精准化教学模式构建研究</w:t>
      </w:r>
    </w:p>
    <w:p w14:paraId="2455FA77">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111" w:leftChars="304" w:hanging="473" w:hangingChars="148"/>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40.</w:t>
      </w:r>
      <w:r>
        <w:rPr>
          <w:rFonts w:hint="eastAsia" w:ascii="仿宋_GB2312" w:hAnsi="仿宋_GB2312" w:eastAsia="仿宋_GB2312" w:cs="仿宋_GB2312"/>
          <w:sz w:val="32"/>
          <w:szCs w:val="36"/>
        </w:rPr>
        <w:t>人工智能驱动的高校个性化学习支持系统构建与教学模式变革研究</w:t>
      </w:r>
    </w:p>
    <w:p w14:paraId="066B6E97">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41.</w:t>
      </w:r>
      <w:r>
        <w:rPr>
          <w:rFonts w:hint="eastAsia" w:ascii="仿宋_GB2312" w:hAnsi="仿宋_GB2312" w:eastAsia="仿宋_GB2312" w:cs="仿宋_GB2312"/>
          <w:sz w:val="32"/>
          <w:szCs w:val="36"/>
        </w:rPr>
        <w:t>湖北省高校学科“在地化”人才培养模式研究</w:t>
      </w:r>
    </w:p>
    <w:p w14:paraId="1E8F291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42.</w:t>
      </w:r>
      <w:r>
        <w:rPr>
          <w:rFonts w:hint="eastAsia" w:ascii="仿宋_GB2312" w:hAnsi="仿宋_GB2312" w:eastAsia="仿宋_GB2312" w:cs="仿宋_GB2312"/>
          <w:sz w:val="32"/>
          <w:szCs w:val="36"/>
        </w:rPr>
        <w:t>职业本科教育质量评估标准与湖北职教高地建设实践</w:t>
      </w:r>
    </w:p>
    <w:p w14:paraId="6820B40E">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43.</w:t>
      </w:r>
      <w:r>
        <w:rPr>
          <w:rFonts w:hint="eastAsia" w:ascii="仿宋_GB2312" w:hAnsi="仿宋_GB2312" w:eastAsia="仿宋_GB2312" w:cs="仿宋_GB2312"/>
          <w:sz w:val="32"/>
          <w:szCs w:val="36"/>
        </w:rPr>
        <w:t>数字</w:t>
      </w:r>
      <w:r>
        <w:rPr>
          <w:rFonts w:hint="eastAsia" w:ascii="仿宋_GB2312" w:hAnsi="仿宋_GB2312" w:eastAsia="仿宋_GB2312" w:cs="仿宋_GB2312"/>
          <w:sz w:val="32"/>
          <w:szCs w:val="36"/>
          <w:lang w:val="en-US" w:eastAsia="zh-CN"/>
        </w:rPr>
        <w:t>技术</w:t>
      </w:r>
      <w:r>
        <w:rPr>
          <w:rFonts w:hint="eastAsia" w:ascii="仿宋_GB2312" w:hAnsi="仿宋_GB2312" w:eastAsia="仿宋_GB2312" w:cs="仿宋_GB2312"/>
          <w:sz w:val="32"/>
          <w:szCs w:val="36"/>
        </w:rPr>
        <w:t>赋能乡村教育振兴的湖北实践</w:t>
      </w:r>
    </w:p>
    <w:p w14:paraId="6ADEC443">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44.高校</w:t>
      </w:r>
      <w:r>
        <w:rPr>
          <w:rFonts w:hint="eastAsia" w:ascii="仿宋_GB2312" w:hAnsi="仿宋_GB2312" w:eastAsia="仿宋_GB2312" w:cs="仿宋_GB2312"/>
          <w:sz w:val="32"/>
          <w:szCs w:val="36"/>
        </w:rPr>
        <w:t>助力乡村振兴的社会实践课程开发研究</w:t>
      </w:r>
    </w:p>
    <w:p w14:paraId="16BC90E8">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45.</w:t>
      </w:r>
      <w:r>
        <w:rPr>
          <w:rFonts w:hint="eastAsia" w:ascii="仿宋_GB2312" w:hAnsi="仿宋_GB2312" w:eastAsia="仿宋_GB2312" w:cs="仿宋_GB2312"/>
          <w:sz w:val="32"/>
          <w:szCs w:val="36"/>
        </w:rPr>
        <w:t>新工科背景下“工学交替”人才培养模式创新</w:t>
      </w:r>
    </w:p>
    <w:p w14:paraId="5AB7DCCF">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46.</w:t>
      </w:r>
      <w:r>
        <w:rPr>
          <w:rFonts w:hint="eastAsia" w:ascii="仿宋_GB2312" w:hAnsi="仿宋_GB2312" w:eastAsia="仿宋_GB2312" w:cs="仿宋_GB2312"/>
          <w:sz w:val="32"/>
          <w:szCs w:val="36"/>
        </w:rPr>
        <w:t>高校科研反哺教学的方法路径研究与实践</w:t>
      </w:r>
    </w:p>
    <w:p w14:paraId="235BF1E0">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47.</w:t>
      </w:r>
      <w:r>
        <w:rPr>
          <w:rFonts w:hint="eastAsia" w:ascii="仿宋_GB2312" w:hAnsi="仿宋_GB2312" w:eastAsia="仿宋_GB2312" w:cs="仿宋_GB2312"/>
          <w:sz w:val="32"/>
          <w:szCs w:val="36"/>
        </w:rPr>
        <w:t>融合生成式人工智能的高校跨学科教学模式创新研究</w:t>
      </w:r>
    </w:p>
    <w:p w14:paraId="5DBD067B">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48.</w:t>
      </w:r>
      <w:r>
        <w:rPr>
          <w:rFonts w:hint="eastAsia" w:ascii="仿宋_GB2312" w:hAnsi="仿宋_GB2312" w:eastAsia="仿宋_GB2312" w:cs="仿宋_GB2312"/>
          <w:sz w:val="32"/>
          <w:szCs w:val="36"/>
        </w:rPr>
        <w:t>少子化背景下民办高校高质量发展路径研究</w:t>
      </w:r>
    </w:p>
    <w:p w14:paraId="386B9D08">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49.</w:t>
      </w:r>
      <w:r>
        <w:rPr>
          <w:rFonts w:hint="eastAsia" w:ascii="仿宋_GB2312" w:hAnsi="仿宋_GB2312" w:eastAsia="仿宋_GB2312" w:cs="仿宋_GB2312"/>
          <w:sz w:val="32"/>
          <w:szCs w:val="36"/>
        </w:rPr>
        <w:t>“5I教育”背景下高校产教融合创新路径研究</w:t>
      </w:r>
    </w:p>
    <w:p w14:paraId="78829C22">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50.</w:t>
      </w:r>
      <w:r>
        <w:rPr>
          <w:rFonts w:hint="eastAsia" w:ascii="仿宋_GB2312" w:hAnsi="仿宋_GB2312" w:eastAsia="仿宋_GB2312" w:cs="仿宋_GB2312"/>
          <w:sz w:val="32"/>
          <w:szCs w:val="36"/>
        </w:rPr>
        <w:t>“放管服”改革背景下高校</w:t>
      </w:r>
      <w:r>
        <w:rPr>
          <w:rFonts w:hint="eastAsia" w:ascii="仿宋_GB2312" w:hAnsi="仿宋_GB2312" w:eastAsia="仿宋_GB2312" w:cs="仿宋_GB2312"/>
          <w:sz w:val="32"/>
          <w:szCs w:val="36"/>
          <w:lang w:val="en-US" w:eastAsia="zh-CN"/>
        </w:rPr>
        <w:t>治理体系改革研究</w:t>
      </w:r>
    </w:p>
    <w:p w14:paraId="77C0A646">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51.高等学校分类管理、分类评价机制研究</w:t>
      </w:r>
    </w:p>
    <w:p w14:paraId="398ACF9C">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52.</w:t>
      </w:r>
      <w:r>
        <w:rPr>
          <w:rFonts w:hint="eastAsia" w:ascii="仿宋_GB2312" w:hAnsi="仿宋_GB2312" w:eastAsia="仿宋_GB2312" w:cs="仿宋_GB2312"/>
          <w:sz w:val="32"/>
          <w:szCs w:val="36"/>
        </w:rPr>
        <w:t>高等教育国际化背景下湖北高校的对外合作路径</w:t>
      </w:r>
    </w:p>
    <w:p w14:paraId="0B255EAC">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53.</w:t>
      </w:r>
      <w:r>
        <w:rPr>
          <w:rFonts w:hint="eastAsia" w:ascii="仿宋_GB2312" w:hAnsi="仿宋_GB2312" w:eastAsia="仿宋_GB2312" w:cs="仿宋_GB2312"/>
          <w:sz w:val="32"/>
          <w:szCs w:val="36"/>
        </w:rPr>
        <w:t>学生资助政策优化与湖北地方高校学业支持体系创新</w:t>
      </w:r>
    </w:p>
    <w:p w14:paraId="48AD5512">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54.</w:t>
      </w:r>
      <w:r>
        <w:rPr>
          <w:rFonts w:hint="eastAsia" w:ascii="仿宋_GB2312" w:hAnsi="仿宋_GB2312" w:eastAsia="仿宋_GB2312" w:cs="仿宋_GB2312"/>
          <w:sz w:val="32"/>
          <w:szCs w:val="36"/>
        </w:rPr>
        <w:t>高等教育普及化阶段学生心理健康问题的干预模式</w:t>
      </w:r>
    </w:p>
    <w:p w14:paraId="0D6D3474">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55.</w:t>
      </w:r>
      <w:r>
        <w:rPr>
          <w:rFonts w:hint="eastAsia" w:ascii="仿宋_GB2312" w:hAnsi="仿宋_GB2312" w:eastAsia="仿宋_GB2312" w:cs="仿宋_GB2312"/>
          <w:sz w:val="32"/>
          <w:szCs w:val="36"/>
        </w:rPr>
        <w:t>高等教育数字化转型中数据安全与伦理风险防控研究</w:t>
      </w:r>
    </w:p>
    <w:p w14:paraId="40E9DF64">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56.红色文化资源融入高校通识教育的实践路径</w:t>
      </w:r>
    </w:p>
    <w:p w14:paraId="1BC02005">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57.湖北“学分银行”制度构建与区域性资历框架设计</w:t>
      </w:r>
    </w:p>
    <w:p w14:paraId="782F042B">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58.银发群体再教育需求与社区学院服务模式创新</w:t>
      </w:r>
    </w:p>
    <w:p w14:paraId="0539BD23">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59.地方高校非遗传承创新与乡村文化振兴融合路径</w:t>
      </w:r>
    </w:p>
    <w:p w14:paraId="082AA49F">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60.微专业培养对高校毕业生就业竞争力的影响研究</w:t>
      </w:r>
    </w:p>
    <w:p w14:paraId="5DEB21B6">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61.高等教育跨境“出海”合作教育模式研究</w:t>
      </w:r>
    </w:p>
    <w:p w14:paraId="326EECA3">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100" w:firstLine="321" w:firstLineChars="100"/>
        <w:textAlignment w:val="auto"/>
        <w:rPr>
          <w:rFonts w:hint="eastAsia" w:ascii="仿宋_GB2312" w:hAnsi="仿宋_GB2312" w:eastAsia="仿宋_GB2312" w:cs="仿宋_GB2312"/>
          <w:b/>
          <w:bCs/>
          <w:sz w:val="32"/>
          <w:szCs w:val="36"/>
          <w:lang w:val="en-US" w:eastAsia="zh-CN"/>
        </w:rPr>
      </w:pPr>
      <w:r>
        <w:rPr>
          <w:rFonts w:hint="eastAsia" w:ascii="仿宋_GB2312" w:hAnsi="仿宋_GB2312" w:eastAsia="仿宋_GB2312" w:cs="仿宋_GB2312"/>
          <w:b/>
          <w:bCs/>
          <w:sz w:val="32"/>
          <w:szCs w:val="36"/>
          <w:lang w:val="en-US" w:eastAsia="zh-CN"/>
        </w:rPr>
        <w:t>（二）产教融合专项课题</w:t>
      </w:r>
    </w:p>
    <w:p w14:paraId="2364E86F">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pacing w:val="-11"/>
          <w:sz w:val="32"/>
          <w:szCs w:val="36"/>
          <w:lang w:val="en-US" w:eastAsia="zh-CN"/>
        </w:rPr>
      </w:pPr>
      <w:r>
        <w:rPr>
          <w:rFonts w:hint="eastAsia" w:ascii="仿宋_GB2312" w:hAnsi="仿宋_GB2312" w:eastAsia="仿宋_GB2312" w:cs="仿宋_GB2312"/>
          <w:b w:val="0"/>
          <w:bCs w:val="0"/>
          <w:sz w:val="32"/>
          <w:szCs w:val="36"/>
          <w:lang w:val="en-US" w:eastAsia="zh-CN"/>
        </w:rPr>
        <w:t>1.</w:t>
      </w:r>
      <w:r>
        <w:rPr>
          <w:rFonts w:hint="eastAsia" w:ascii="仿宋_GB2312" w:hAnsi="仿宋_GB2312" w:eastAsia="仿宋_GB2312" w:cs="仿宋_GB2312"/>
          <w:b w:val="0"/>
          <w:bCs w:val="0"/>
          <w:spacing w:val="-11"/>
          <w:sz w:val="32"/>
          <w:szCs w:val="36"/>
          <w:lang w:val="en-US" w:eastAsia="zh-CN"/>
        </w:rPr>
        <w:t>数字化转型背景下本科高校毕业论文智评体系的构建和应用</w:t>
      </w:r>
    </w:p>
    <w:p w14:paraId="2D432AEC">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2.基于生成式AI的教师数字化胜任力培养路径研究</w:t>
      </w:r>
    </w:p>
    <w:p w14:paraId="2F633729">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958" w:leftChars="304" w:hanging="320" w:hangingChars="1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3.AIGC生成内容在学术写作中的边界界定与科研诚信治理体系研究</w:t>
      </w:r>
    </w:p>
    <w:p w14:paraId="10BDCB27">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4.新医科背景下民族院校医教协同模式探究</w:t>
      </w:r>
    </w:p>
    <w:p w14:paraId="26917D0B">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958" w:leftChars="304" w:hanging="320" w:hangingChars="1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5.医学助力乡村振兴的社会实践课程开发：远程医疗技术赋能乡村健康管理的路径研究</w:t>
      </w:r>
    </w:p>
    <w:p w14:paraId="728749D9">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958" w:leftChars="304" w:hanging="320" w:hangingChars="1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6.智能技术赋能视角下智慧康养专业群"岗课赛证"融通实践教学体系创新研究</w:t>
      </w:r>
    </w:p>
    <w:p w14:paraId="68068D9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7.基于VR/AR与AI的混合式教学模式构建与实证研究</w:t>
      </w:r>
    </w:p>
    <w:p w14:paraId="59C5A265">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8.“双链驱动”下的药学课程思政数字化实施路径研究</w:t>
      </w:r>
    </w:p>
    <w:p w14:paraId="4C59D9C5">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9.基于数字孪生技术构建护理穿刺模型的方法研究</w:t>
      </w:r>
    </w:p>
    <w:p w14:paraId="0D047AD2">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pacing w:val="-11"/>
          <w:sz w:val="32"/>
          <w:szCs w:val="36"/>
          <w:lang w:val="en-US" w:eastAsia="zh-CN"/>
        </w:rPr>
      </w:pPr>
      <w:r>
        <w:rPr>
          <w:rFonts w:hint="eastAsia" w:ascii="仿宋_GB2312" w:hAnsi="仿宋_GB2312" w:eastAsia="仿宋_GB2312" w:cs="仿宋_GB2312"/>
          <w:b w:val="0"/>
          <w:bCs w:val="0"/>
          <w:sz w:val="32"/>
          <w:szCs w:val="36"/>
          <w:lang w:val="en-US" w:eastAsia="zh-CN"/>
        </w:rPr>
        <w:t>10.</w:t>
      </w:r>
      <w:r>
        <w:rPr>
          <w:rFonts w:hint="eastAsia" w:ascii="仿宋_GB2312" w:hAnsi="仿宋_GB2312" w:eastAsia="仿宋_GB2312" w:cs="仿宋_GB2312"/>
          <w:b w:val="0"/>
          <w:bCs w:val="0"/>
          <w:spacing w:val="-11"/>
          <w:sz w:val="32"/>
          <w:szCs w:val="36"/>
          <w:lang w:val="en-US" w:eastAsia="zh-CN"/>
        </w:rPr>
        <w:t>基于数字孪生技术的护理穿刺培训系统构建及其应用研究</w:t>
      </w:r>
    </w:p>
    <w:p w14:paraId="3DC75FD8">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pacing w:val="-11"/>
          <w:sz w:val="32"/>
          <w:szCs w:val="36"/>
          <w:lang w:val="en-US" w:eastAsia="zh-CN"/>
        </w:rPr>
      </w:pPr>
      <w:r>
        <w:rPr>
          <w:rFonts w:hint="eastAsia" w:ascii="仿宋_GB2312" w:hAnsi="仿宋_GB2312" w:eastAsia="仿宋_GB2312" w:cs="仿宋_GB2312"/>
          <w:b w:val="0"/>
          <w:bCs w:val="0"/>
          <w:sz w:val="32"/>
          <w:szCs w:val="36"/>
          <w:lang w:val="en-US" w:eastAsia="zh-CN"/>
        </w:rPr>
        <w:t>11.</w:t>
      </w:r>
      <w:r>
        <w:rPr>
          <w:rFonts w:hint="eastAsia" w:ascii="仿宋_GB2312" w:hAnsi="仿宋_GB2312" w:eastAsia="仿宋_GB2312" w:cs="仿宋_GB2312"/>
          <w:b w:val="0"/>
          <w:bCs w:val="0"/>
          <w:spacing w:val="-11"/>
          <w:sz w:val="32"/>
          <w:szCs w:val="36"/>
          <w:lang w:val="en-US" w:eastAsia="zh-CN"/>
        </w:rPr>
        <w:t>基于数字孪生技术的高职护生实习前培训方案的应用研究</w:t>
      </w:r>
    </w:p>
    <w:p w14:paraId="49DC352D">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12.高校实验室智能化教学管理平台的设计与实践</w:t>
      </w:r>
    </w:p>
    <w:p w14:paraId="7E444202">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111" w:leftChars="304" w:hanging="473" w:hangingChars="148"/>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13.人工智能赋能高职高专临床医学专业岗位技能提升的模式创新与研究</w:t>
      </w:r>
    </w:p>
    <w:p w14:paraId="29D35AB9">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14.人工智能时代康复治疗技术应用型职业人才培养研究</w:t>
      </w:r>
    </w:p>
    <w:p w14:paraId="00413284">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15.智慧康养专业群与区域产业链对接的产教融合路径研究</w:t>
      </w:r>
    </w:p>
    <w:p w14:paraId="7873C698">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4" w:leftChars="304" w:hanging="416" w:hangingChars="13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16.AR智能技术在老年照护技术教学中的应用探索--以老年照护机器人的应用为例</w:t>
      </w:r>
    </w:p>
    <w:p w14:paraId="730C880F">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6"/>
          <w:lang w:val="en-US" w:eastAsia="zh-CN"/>
        </w:rPr>
      </w:pPr>
      <w:r>
        <w:rPr>
          <w:rFonts w:hint="eastAsia" w:ascii="仿宋_GB2312" w:hAnsi="仿宋_GB2312" w:eastAsia="仿宋_GB2312" w:cs="仿宋_GB2312"/>
          <w:b w:val="0"/>
          <w:bCs w:val="0"/>
          <w:sz w:val="32"/>
          <w:szCs w:val="36"/>
          <w:lang w:val="en-US" w:eastAsia="zh-CN"/>
        </w:rPr>
        <w:t>17.智慧医疗背景下护理专业高水平培养模式研究</w:t>
      </w:r>
    </w:p>
    <w:p w14:paraId="42DA1F67">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共同体项目</w:t>
      </w:r>
    </w:p>
    <w:p w14:paraId="3E72C472">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6"/>
          <w:lang w:val="en-US" w:eastAsia="zh-CN"/>
        </w:rPr>
        <w:t>1.</w:t>
      </w:r>
      <w:r>
        <w:rPr>
          <w:rFonts w:hint="eastAsia" w:ascii="仿宋" w:hAnsi="仿宋" w:eastAsia="仿宋" w:cs="仿宋"/>
          <w:sz w:val="32"/>
          <w:szCs w:val="32"/>
          <w:lang w:val="en-US" w:eastAsia="zh-CN"/>
        </w:rPr>
        <w:t>高校</w:t>
      </w:r>
      <w:r>
        <w:rPr>
          <w:rFonts w:hint="eastAsia" w:ascii="仿宋" w:hAnsi="仿宋" w:eastAsia="仿宋" w:cs="仿宋"/>
          <w:sz w:val="32"/>
          <w:szCs w:val="32"/>
        </w:rPr>
        <w:t>“人工智能+X”双螺旋培养模式构建</w:t>
      </w:r>
    </w:p>
    <w:p w14:paraId="2EF9932B">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2.</w:t>
      </w:r>
      <w:r>
        <w:rPr>
          <w:rFonts w:hint="eastAsia" w:ascii="仿宋" w:hAnsi="仿宋" w:eastAsia="仿宋" w:cs="仿宋"/>
          <w:sz w:val="32"/>
          <w:szCs w:val="36"/>
        </w:rPr>
        <w:t>AIGC背景下</w:t>
      </w:r>
      <w:r>
        <w:rPr>
          <w:rFonts w:hint="eastAsia" w:ascii="仿宋" w:hAnsi="仿宋" w:eastAsia="仿宋" w:cs="仿宋"/>
          <w:sz w:val="32"/>
          <w:szCs w:val="36"/>
          <w:lang w:val="en-US" w:eastAsia="zh-CN"/>
        </w:rPr>
        <w:t>学习者</w:t>
      </w:r>
      <w:r>
        <w:rPr>
          <w:rFonts w:hint="eastAsia" w:ascii="仿宋" w:hAnsi="仿宋" w:eastAsia="仿宋" w:cs="仿宋"/>
          <w:sz w:val="32"/>
          <w:szCs w:val="36"/>
        </w:rPr>
        <w:t>实践能力培养范式变革研究</w:t>
      </w:r>
    </w:p>
    <w:p w14:paraId="7A63AFF8">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958" w:leftChars="304" w:hanging="320" w:hangingChars="1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3.</w:t>
      </w:r>
      <w:r>
        <w:rPr>
          <w:rFonts w:hint="eastAsia" w:ascii="仿宋" w:hAnsi="仿宋" w:eastAsia="仿宋" w:cs="仿宋"/>
          <w:sz w:val="32"/>
          <w:szCs w:val="36"/>
        </w:rPr>
        <w:t>智能技术赋能视角下专业群“岗课赛证”融通实践教学体系创新研究</w:t>
      </w:r>
    </w:p>
    <w:p w14:paraId="414D9B3E">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w:t>
      </w:r>
      <w:r>
        <w:rPr>
          <w:rFonts w:hint="eastAsia" w:ascii="仿宋" w:hAnsi="仿宋" w:eastAsia="仿宋" w:cs="仿宋"/>
          <w:sz w:val="32"/>
          <w:szCs w:val="36"/>
        </w:rPr>
        <w:t>AI平权视阈下</w:t>
      </w:r>
      <w:r>
        <w:rPr>
          <w:rFonts w:hint="eastAsia" w:ascii="仿宋" w:hAnsi="仿宋" w:eastAsia="仿宋" w:cs="仿宋"/>
          <w:sz w:val="32"/>
          <w:szCs w:val="36"/>
          <w:lang w:val="en-US" w:eastAsia="zh-CN"/>
        </w:rPr>
        <w:t>大学</w:t>
      </w:r>
      <w:r>
        <w:rPr>
          <w:rFonts w:hint="eastAsia" w:ascii="仿宋" w:hAnsi="仿宋" w:eastAsia="仿宋" w:cs="仿宋"/>
          <w:sz w:val="32"/>
          <w:szCs w:val="36"/>
        </w:rPr>
        <w:t>生数智素养提升路径研究</w:t>
      </w:r>
    </w:p>
    <w:p w14:paraId="32897203">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958" w:leftChars="304" w:hanging="320" w:hangingChars="1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5</w:t>
      </w:r>
      <w:r>
        <w:rPr>
          <w:rFonts w:hint="eastAsia" w:ascii="仿宋" w:hAnsi="仿宋" w:eastAsia="仿宋" w:cs="仿宋"/>
          <w:sz w:val="32"/>
          <w:szCs w:val="36"/>
        </w:rPr>
        <w:t>.“产教融合·科教融汇·地校融通”三融育人模式促进高校应用型人才高质量发展研究</w:t>
      </w:r>
    </w:p>
    <w:p w14:paraId="6C2CFF5B">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pacing w:val="-11"/>
          <w:sz w:val="32"/>
          <w:szCs w:val="36"/>
        </w:rPr>
      </w:pPr>
      <w:r>
        <w:rPr>
          <w:rFonts w:hint="eastAsia" w:ascii="仿宋" w:hAnsi="仿宋" w:eastAsia="仿宋" w:cs="仿宋"/>
          <w:sz w:val="32"/>
          <w:szCs w:val="36"/>
          <w:lang w:val="en-US" w:eastAsia="zh-CN"/>
        </w:rPr>
        <w:t>6</w:t>
      </w:r>
      <w:r>
        <w:rPr>
          <w:rFonts w:hint="eastAsia" w:ascii="仿宋" w:hAnsi="仿宋" w:eastAsia="仿宋" w:cs="仿宋"/>
          <w:sz w:val="32"/>
          <w:szCs w:val="36"/>
        </w:rPr>
        <w:t>.</w:t>
      </w:r>
      <w:r>
        <w:rPr>
          <w:rFonts w:hint="eastAsia" w:ascii="仿宋" w:hAnsi="仿宋" w:eastAsia="仿宋" w:cs="仿宋"/>
          <w:spacing w:val="-11"/>
          <w:sz w:val="32"/>
          <w:szCs w:val="36"/>
        </w:rPr>
        <w:t>中部地区生命科学教育助力农业现代化的路径与策略研究</w:t>
      </w:r>
    </w:p>
    <w:p w14:paraId="03D50438">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7</w:t>
      </w:r>
      <w:r>
        <w:rPr>
          <w:rFonts w:hint="eastAsia" w:ascii="仿宋" w:hAnsi="仿宋" w:eastAsia="仿宋" w:cs="仿宋"/>
          <w:sz w:val="32"/>
          <w:szCs w:val="36"/>
        </w:rPr>
        <w:t>.中部地区工业互联网产业集群协同发展策略研究</w:t>
      </w:r>
    </w:p>
    <w:p w14:paraId="3FC376CC">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.“双链驱动”下的课程思政数字化实施路径研究</w:t>
      </w:r>
    </w:p>
    <w:p w14:paraId="5AADADAA">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9.</w:t>
      </w:r>
      <w:r>
        <w:rPr>
          <w:rFonts w:hint="eastAsia" w:ascii="仿宋" w:hAnsi="仿宋" w:eastAsia="仿宋" w:cs="仿宋"/>
          <w:sz w:val="32"/>
          <w:szCs w:val="36"/>
        </w:rPr>
        <w:t>短视频时代注意力重塑与深度学习策略</w:t>
      </w:r>
    </w:p>
    <w:p w14:paraId="61E714B0">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.教育强国背景下职业教育综合改革与实践研究</w:t>
      </w:r>
    </w:p>
    <w:p w14:paraId="3F9B27B8">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11</w:t>
      </w:r>
      <w:r>
        <w:rPr>
          <w:rFonts w:hint="eastAsia" w:ascii="仿宋" w:hAnsi="仿宋" w:eastAsia="仿宋" w:cs="仿宋"/>
          <w:sz w:val="32"/>
          <w:szCs w:val="36"/>
        </w:rPr>
        <w:t>.数字孪生驱动的虚实融合教学模式构建与实践研究</w:t>
      </w:r>
    </w:p>
    <w:p w14:paraId="4E3497C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.应用型人才培养驱动新质生产力发展理论与实践</w:t>
      </w:r>
    </w:p>
    <w:p w14:paraId="79A4959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.应用型本科高校课程考核评价改革与实践研究</w:t>
      </w:r>
    </w:p>
    <w:p w14:paraId="7E14BA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14.地方高校应用型转型研究</w:t>
      </w:r>
    </w:p>
    <w:p w14:paraId="053C7A6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6"/>
        </w:rPr>
      </w:pPr>
      <w:r>
        <w:rPr>
          <w:rFonts w:hint="eastAsia" w:ascii="仿宋" w:hAnsi="仿宋" w:eastAsia="仿宋" w:cs="仿宋"/>
          <w:kern w:val="2"/>
          <w:sz w:val="32"/>
          <w:szCs w:val="36"/>
          <w:lang w:val="en-US" w:eastAsia="zh-CN" w:bidi="ar-SA"/>
        </w:rPr>
        <w:t>15.</w:t>
      </w:r>
      <w:r>
        <w:rPr>
          <w:rFonts w:hint="eastAsia" w:ascii="仿宋" w:hAnsi="仿宋" w:eastAsia="仿宋" w:cs="仿宋"/>
          <w:sz w:val="32"/>
          <w:szCs w:val="36"/>
        </w:rPr>
        <w:t>职业院校助力科技创新与产业融合发展策略研究</w:t>
      </w:r>
    </w:p>
    <w:p w14:paraId="1D53B34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kern w:val="2"/>
          <w:sz w:val="32"/>
          <w:szCs w:val="36"/>
          <w:lang w:val="en-US" w:eastAsia="zh-CN" w:bidi="ar-SA"/>
        </w:rPr>
        <w:t>16.</w:t>
      </w:r>
      <w:r>
        <w:rPr>
          <w:rFonts w:hint="eastAsia" w:ascii="仿宋" w:hAnsi="仿宋" w:eastAsia="仿宋" w:cs="仿宋"/>
          <w:sz w:val="32"/>
          <w:szCs w:val="36"/>
          <w:lang w:val="en-US" w:eastAsia="zh-CN"/>
        </w:rPr>
        <w:t>职业教育多元化办学、产教融合新形态研究</w:t>
      </w:r>
    </w:p>
    <w:p w14:paraId="74DC89A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.产教融合视角下高</w:t>
      </w:r>
      <w:r>
        <w:rPr>
          <w:rFonts w:hint="eastAsia" w:ascii="仿宋" w:hAnsi="仿宋" w:eastAsia="仿宋" w:cs="仿宋"/>
          <w:sz w:val="32"/>
          <w:szCs w:val="32"/>
          <w:lang w:val="en-US" w:eastAsia="zh-CN"/>
        </w:rPr>
        <w:t>校</w:t>
      </w:r>
      <w:r>
        <w:rPr>
          <w:rFonts w:hint="eastAsia" w:ascii="仿宋" w:hAnsi="仿宋" w:eastAsia="仿宋" w:cs="仿宋"/>
          <w:sz w:val="32"/>
          <w:szCs w:val="32"/>
        </w:rPr>
        <w:t>人才培养模式创新研究</w:t>
      </w:r>
    </w:p>
    <w:p w14:paraId="322078C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18</w:t>
      </w:r>
      <w:r>
        <w:rPr>
          <w:rFonts w:hint="eastAsia" w:ascii="仿宋" w:hAnsi="仿宋" w:eastAsia="仿宋" w:cs="仿宋"/>
          <w:sz w:val="32"/>
          <w:szCs w:val="36"/>
        </w:rPr>
        <w:t>.AI智能互动系统在高校教育中的应用路径探索</w:t>
      </w:r>
    </w:p>
    <w:p w14:paraId="5E797BA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19</w:t>
      </w:r>
      <w:r>
        <w:rPr>
          <w:rFonts w:hint="eastAsia" w:ascii="仿宋" w:hAnsi="仿宋" w:eastAsia="仿宋" w:cs="仿宋"/>
          <w:sz w:val="32"/>
          <w:szCs w:val="36"/>
        </w:rPr>
        <w:t>.知识图谱深度融合的</w:t>
      </w:r>
      <w:r>
        <w:rPr>
          <w:rFonts w:hint="eastAsia" w:ascii="仿宋" w:hAnsi="仿宋" w:eastAsia="仿宋" w:cs="仿宋"/>
          <w:sz w:val="32"/>
          <w:szCs w:val="36"/>
          <w:lang w:val="en-US" w:eastAsia="zh-CN"/>
        </w:rPr>
        <w:t>四新专业</w:t>
      </w:r>
      <w:r>
        <w:rPr>
          <w:rFonts w:hint="eastAsia" w:ascii="仿宋" w:hAnsi="仿宋" w:eastAsia="仿宋" w:cs="仿宋"/>
          <w:sz w:val="32"/>
          <w:szCs w:val="36"/>
        </w:rPr>
        <w:t>培养改革与实践</w:t>
      </w:r>
    </w:p>
    <w:p w14:paraId="75A8894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.教育数字化背景下高校教师角色</w:t>
      </w:r>
      <w:r>
        <w:rPr>
          <w:rFonts w:hint="eastAsia" w:ascii="仿宋" w:hAnsi="仿宋" w:eastAsia="仿宋" w:cs="仿宋"/>
          <w:sz w:val="32"/>
          <w:szCs w:val="32"/>
          <w:lang w:val="en-US" w:eastAsia="zh-CN"/>
        </w:rPr>
        <w:t>与能力</w:t>
      </w:r>
      <w:r>
        <w:rPr>
          <w:rFonts w:hint="eastAsia" w:ascii="仿宋" w:hAnsi="仿宋" w:eastAsia="仿宋" w:cs="仿宋"/>
          <w:sz w:val="32"/>
          <w:szCs w:val="32"/>
        </w:rPr>
        <w:t>重塑研究</w:t>
      </w:r>
    </w:p>
    <w:p w14:paraId="7EA6BA5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.高校管理人员</w:t>
      </w:r>
      <w:r>
        <w:rPr>
          <w:rFonts w:hint="eastAsia" w:ascii="仿宋" w:hAnsi="仿宋" w:eastAsia="仿宋" w:cs="仿宋"/>
          <w:sz w:val="32"/>
          <w:szCs w:val="32"/>
          <w:lang w:val="en-US" w:eastAsia="zh-CN"/>
        </w:rPr>
        <w:t>数字</w:t>
      </w:r>
      <w:r>
        <w:rPr>
          <w:rFonts w:hint="eastAsia" w:ascii="仿宋" w:hAnsi="仿宋" w:eastAsia="仿宋" w:cs="仿宋"/>
          <w:sz w:val="32"/>
          <w:szCs w:val="32"/>
        </w:rPr>
        <w:t>素养提升策略研究</w:t>
      </w:r>
    </w:p>
    <w:p w14:paraId="0D02B1B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sz w:val="32"/>
          <w:szCs w:val="32"/>
        </w:rPr>
        <w:t>.新时代大学英语课程全球胜任力培养研究</w:t>
      </w:r>
    </w:p>
    <w:p w14:paraId="4F89F69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rPr>
        <w:t>.新时代师范类高校教育评价改革研究与实践</w:t>
      </w:r>
    </w:p>
    <w:p w14:paraId="23843C0F">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24</w:t>
      </w:r>
      <w:r>
        <w:rPr>
          <w:rFonts w:hint="eastAsia" w:ascii="仿宋" w:hAnsi="仿宋" w:eastAsia="仿宋" w:cs="仿宋"/>
          <w:sz w:val="32"/>
          <w:szCs w:val="36"/>
        </w:rPr>
        <w:t>.基于新医科的医学基础课程智慧学习空间研究</w:t>
      </w:r>
    </w:p>
    <w:p w14:paraId="577A2EB0">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25</w:t>
      </w:r>
      <w:r>
        <w:rPr>
          <w:rFonts w:hint="eastAsia" w:ascii="仿宋" w:hAnsi="仿宋" w:eastAsia="仿宋" w:cs="仿宋"/>
          <w:sz w:val="32"/>
          <w:szCs w:val="32"/>
        </w:rPr>
        <w:t>.艺智融合</w:t>
      </w:r>
      <w:r>
        <w:rPr>
          <w:rFonts w:hint="eastAsia" w:ascii="仿宋" w:hAnsi="仿宋" w:eastAsia="仿宋" w:cs="仿宋"/>
          <w:sz w:val="32"/>
          <w:szCs w:val="32"/>
          <w:lang w:val="en-US" w:eastAsia="zh-CN"/>
        </w:rPr>
        <w:t>的</w:t>
      </w:r>
      <w:r>
        <w:rPr>
          <w:rFonts w:hint="eastAsia" w:ascii="仿宋" w:hAnsi="仿宋" w:eastAsia="仿宋" w:cs="仿宋"/>
          <w:sz w:val="32"/>
          <w:szCs w:val="32"/>
        </w:rPr>
        <w:t>高校美育课程育人新范式</w:t>
      </w:r>
    </w:p>
    <w:p w14:paraId="018337BA">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26</w:t>
      </w:r>
      <w:r>
        <w:rPr>
          <w:rFonts w:hint="eastAsia" w:ascii="仿宋" w:hAnsi="仿宋" w:eastAsia="仿宋" w:cs="仿宋"/>
          <w:sz w:val="32"/>
          <w:szCs w:val="36"/>
        </w:rPr>
        <w:t>.新文科背景下用英语讲好中国故事能力培养研究</w:t>
      </w:r>
    </w:p>
    <w:p w14:paraId="629EECFB">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27</w:t>
      </w:r>
      <w:r>
        <w:rPr>
          <w:rFonts w:hint="eastAsia" w:ascii="仿宋" w:hAnsi="仿宋" w:eastAsia="仿宋" w:cs="仿宋"/>
          <w:sz w:val="32"/>
          <w:szCs w:val="36"/>
        </w:rPr>
        <w:t>.医学生临床岗位胜任力提升研究</w:t>
      </w:r>
    </w:p>
    <w:p w14:paraId="737E3812">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28</w:t>
      </w:r>
      <w:r>
        <w:rPr>
          <w:rFonts w:hint="eastAsia" w:ascii="仿宋" w:hAnsi="仿宋" w:eastAsia="仿宋" w:cs="仿宋"/>
          <w:sz w:val="32"/>
          <w:szCs w:val="36"/>
        </w:rPr>
        <w:t>.中医类核心课程知识图谱建设研究</w:t>
      </w:r>
    </w:p>
    <w:p w14:paraId="7583CCBC">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2"/>
          <w:lang w:val="en-US" w:eastAsia="zh-CN"/>
        </w:rPr>
        <w:t>29</w:t>
      </w:r>
      <w:r>
        <w:rPr>
          <w:rFonts w:hint="eastAsia" w:ascii="仿宋" w:hAnsi="仿宋" w:eastAsia="仿宋" w:cs="仿宋"/>
          <w:sz w:val="32"/>
          <w:szCs w:val="36"/>
        </w:rPr>
        <w:t>.新时代学科交叉视域下高质量</w:t>
      </w:r>
      <w:r>
        <w:rPr>
          <w:rFonts w:hint="eastAsia" w:ascii="仿宋" w:hAnsi="仿宋" w:eastAsia="仿宋" w:cs="仿宋"/>
          <w:sz w:val="32"/>
          <w:szCs w:val="36"/>
          <w:lang w:val="en-US" w:eastAsia="zh-CN"/>
        </w:rPr>
        <w:t>教学体系</w:t>
      </w:r>
      <w:r>
        <w:rPr>
          <w:rFonts w:hint="eastAsia" w:ascii="仿宋" w:hAnsi="仿宋" w:eastAsia="仿宋" w:cs="仿宋"/>
          <w:sz w:val="32"/>
          <w:szCs w:val="36"/>
        </w:rPr>
        <w:t>研究</w:t>
      </w:r>
    </w:p>
    <w:p w14:paraId="0861AED0">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30</w:t>
      </w:r>
      <w:r>
        <w:rPr>
          <w:rFonts w:hint="eastAsia" w:ascii="仿宋" w:hAnsi="仿宋" w:eastAsia="仿宋" w:cs="仿宋"/>
          <w:sz w:val="32"/>
          <w:szCs w:val="36"/>
        </w:rPr>
        <w:t>.基于产教融合的专业实践教学体系建设与实践</w:t>
      </w:r>
    </w:p>
    <w:p w14:paraId="2F24F8E8">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31</w:t>
      </w:r>
      <w:r>
        <w:rPr>
          <w:rFonts w:hint="eastAsia" w:ascii="仿宋" w:hAnsi="仿宋" w:eastAsia="仿宋" w:cs="仿宋"/>
          <w:sz w:val="32"/>
          <w:szCs w:val="36"/>
        </w:rPr>
        <w:t>.专业课程思政元素融入教学设计与实践研究</w:t>
      </w:r>
    </w:p>
    <w:p w14:paraId="7C6CF97A">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32</w:t>
      </w:r>
      <w:r>
        <w:rPr>
          <w:rFonts w:hint="eastAsia" w:ascii="仿宋" w:hAnsi="仿宋" w:eastAsia="仿宋" w:cs="仿宋"/>
          <w:sz w:val="32"/>
          <w:szCs w:val="36"/>
        </w:rPr>
        <w:t>.影像展览与摄影教学融合研究</w:t>
      </w:r>
    </w:p>
    <w:p w14:paraId="0C0BA2E0">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33</w:t>
      </w:r>
      <w:r>
        <w:rPr>
          <w:rFonts w:hint="eastAsia" w:ascii="仿宋" w:hAnsi="仿宋" w:eastAsia="仿宋" w:cs="仿宋"/>
          <w:sz w:val="32"/>
          <w:szCs w:val="36"/>
        </w:rPr>
        <w:t>.双碳战略下产教协同育人机制研究</w:t>
      </w:r>
    </w:p>
    <w:p w14:paraId="19CB13CC">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34</w:t>
      </w:r>
      <w:r>
        <w:rPr>
          <w:rFonts w:hint="eastAsia" w:ascii="仿宋" w:hAnsi="仿宋" w:eastAsia="仿宋" w:cs="仿宋"/>
          <w:sz w:val="32"/>
          <w:szCs w:val="36"/>
        </w:rPr>
        <w:t>.人工智能促进高校毕业生高质量就业的路径与对策研究</w:t>
      </w:r>
    </w:p>
    <w:p w14:paraId="6AE14908">
      <w:pPr>
        <w:pStyle w:val="4"/>
        <w:keepNext w:val="0"/>
        <w:keepLines w:val="0"/>
        <w:pageBreakBefore w:val="0"/>
        <w:widowControl w:val="0"/>
        <w:kinsoku/>
        <w:wordWrap/>
        <w:overflowPunct/>
        <w:topLinePunct w:val="0"/>
        <w:autoSpaceDE/>
        <w:autoSpaceDN/>
        <w:bidi w:val="0"/>
        <w:adjustRightInd/>
        <w:snapToGrid/>
        <w:spacing w:line="480" w:lineRule="exact"/>
        <w:ind w:left="1111" w:leftChars="304" w:hanging="473" w:hangingChars="148"/>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35</w:t>
      </w:r>
      <w:r>
        <w:rPr>
          <w:rFonts w:hint="eastAsia" w:ascii="仿宋" w:hAnsi="仿宋" w:eastAsia="仿宋" w:cs="仿宋"/>
          <w:sz w:val="32"/>
          <w:szCs w:val="36"/>
        </w:rPr>
        <w:t>.“书院+学院”协同育人模式在跨学科跨专业人才培养中的路径优化</w:t>
      </w:r>
    </w:p>
    <w:p w14:paraId="65EE8A51">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36</w:t>
      </w:r>
      <w:r>
        <w:rPr>
          <w:rFonts w:hint="eastAsia" w:ascii="仿宋" w:hAnsi="仿宋" w:eastAsia="仿宋" w:cs="仿宋"/>
          <w:sz w:val="32"/>
          <w:szCs w:val="36"/>
        </w:rPr>
        <w:t>.农业院校赋能新农人培育</w:t>
      </w:r>
      <w:r>
        <w:rPr>
          <w:rFonts w:hint="eastAsia" w:ascii="仿宋" w:hAnsi="仿宋" w:eastAsia="仿宋" w:cs="仿宋"/>
          <w:sz w:val="32"/>
          <w:szCs w:val="36"/>
          <w:lang w:val="en-US" w:eastAsia="zh-CN"/>
        </w:rPr>
        <w:t>路径研究</w:t>
      </w:r>
    </w:p>
    <w:p w14:paraId="61A094D8">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37</w:t>
      </w:r>
      <w:r>
        <w:rPr>
          <w:rFonts w:hint="eastAsia" w:ascii="仿宋" w:hAnsi="仿宋" w:eastAsia="仿宋" w:cs="仿宋"/>
          <w:sz w:val="32"/>
          <w:szCs w:val="36"/>
        </w:rPr>
        <w:t>.教育家精神引领下师范生高质量培养的路径研</w:t>
      </w:r>
      <w:r>
        <w:rPr>
          <w:rFonts w:hint="eastAsia" w:ascii="仿宋" w:hAnsi="仿宋" w:eastAsia="仿宋" w:cs="仿宋"/>
          <w:sz w:val="32"/>
          <w:szCs w:val="36"/>
          <w:lang w:val="en-US" w:eastAsia="zh-CN"/>
        </w:rPr>
        <w:t>究</w:t>
      </w:r>
    </w:p>
    <w:p w14:paraId="237C8796">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38</w:t>
      </w:r>
      <w:r>
        <w:rPr>
          <w:rFonts w:hint="eastAsia" w:ascii="仿宋" w:hAnsi="仿宋" w:eastAsia="仿宋" w:cs="仿宋"/>
          <w:sz w:val="32"/>
          <w:szCs w:val="36"/>
        </w:rPr>
        <w:t>.新业态下地方高校多维度高质量就业路径研究</w:t>
      </w:r>
    </w:p>
    <w:p w14:paraId="13BD7B37">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39</w:t>
      </w:r>
      <w:r>
        <w:rPr>
          <w:rFonts w:hint="eastAsia" w:ascii="仿宋" w:hAnsi="仿宋" w:eastAsia="仿宋" w:cs="仿宋"/>
          <w:sz w:val="32"/>
          <w:szCs w:val="36"/>
        </w:rPr>
        <w:t>.“微专业+职业技能认证”双驱动促就业的实践机制研究</w:t>
      </w:r>
    </w:p>
    <w:p w14:paraId="5213C9BA">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40</w:t>
      </w:r>
      <w:r>
        <w:rPr>
          <w:rFonts w:hint="eastAsia" w:ascii="仿宋" w:hAnsi="仿宋" w:eastAsia="仿宋" w:cs="仿宋"/>
          <w:sz w:val="32"/>
          <w:szCs w:val="36"/>
        </w:rPr>
        <w:t>.综合型地方高校人文素养实践育人机制研究</w:t>
      </w:r>
    </w:p>
    <w:p w14:paraId="52EE9683">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41</w:t>
      </w:r>
      <w:r>
        <w:rPr>
          <w:rFonts w:hint="eastAsia" w:ascii="仿宋" w:hAnsi="仿宋" w:eastAsia="仿宋" w:cs="仿宋"/>
          <w:sz w:val="32"/>
          <w:szCs w:val="36"/>
        </w:rPr>
        <w:t>.AI赋能的非遗传统文化创新转化的实践课程体系研究</w:t>
      </w:r>
    </w:p>
    <w:p w14:paraId="4368A7AC">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42</w:t>
      </w:r>
      <w:r>
        <w:rPr>
          <w:rFonts w:hint="eastAsia" w:ascii="仿宋" w:hAnsi="仿宋" w:eastAsia="仿宋" w:cs="仿宋"/>
          <w:sz w:val="32"/>
          <w:szCs w:val="36"/>
        </w:rPr>
        <w:t>.“AI新质生产力”视域下高校课程体系重塑路径研究</w:t>
      </w:r>
    </w:p>
    <w:p w14:paraId="06C53AC4">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43</w:t>
      </w:r>
      <w:r>
        <w:rPr>
          <w:rFonts w:hint="eastAsia" w:ascii="仿宋" w:hAnsi="仿宋" w:eastAsia="仿宋" w:cs="仿宋"/>
          <w:sz w:val="32"/>
          <w:szCs w:val="36"/>
        </w:rPr>
        <w:t>.新文科背景下高校智能</w:t>
      </w:r>
      <w:r>
        <w:rPr>
          <w:rFonts w:hint="eastAsia" w:ascii="仿宋" w:hAnsi="仿宋" w:eastAsia="仿宋" w:cs="仿宋"/>
          <w:sz w:val="32"/>
          <w:szCs w:val="36"/>
          <w:lang w:val="en-US" w:eastAsia="zh-CN"/>
        </w:rPr>
        <w:t>化</w:t>
      </w:r>
      <w:r>
        <w:rPr>
          <w:rFonts w:hint="eastAsia" w:ascii="仿宋" w:hAnsi="仿宋" w:eastAsia="仿宋" w:cs="仿宋"/>
          <w:sz w:val="32"/>
          <w:szCs w:val="36"/>
        </w:rPr>
        <w:t>人才培养模式转型研究</w:t>
      </w:r>
    </w:p>
    <w:p w14:paraId="747BE303">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44</w:t>
      </w:r>
      <w:r>
        <w:rPr>
          <w:rFonts w:hint="eastAsia" w:ascii="仿宋" w:hAnsi="仿宋" w:eastAsia="仿宋" w:cs="仿宋"/>
          <w:sz w:val="32"/>
          <w:szCs w:val="36"/>
        </w:rPr>
        <w:t>.湖北省高校文化传承创新与长江文明传播实践研究</w:t>
      </w:r>
    </w:p>
    <w:p w14:paraId="2DD6CA9E">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45</w:t>
      </w:r>
      <w:r>
        <w:rPr>
          <w:rFonts w:hint="eastAsia" w:ascii="仿宋" w:hAnsi="仿宋" w:eastAsia="仿宋" w:cs="仿宋"/>
          <w:sz w:val="32"/>
          <w:szCs w:val="36"/>
        </w:rPr>
        <w:t>.</w:t>
      </w:r>
      <w:r>
        <w:rPr>
          <w:rFonts w:hint="eastAsia" w:ascii="仿宋" w:hAnsi="仿宋" w:eastAsia="仿宋" w:cs="仿宋"/>
          <w:sz w:val="32"/>
          <w:szCs w:val="36"/>
          <w:lang w:val="en-US" w:eastAsia="zh-CN"/>
        </w:rPr>
        <w:t>高校</w:t>
      </w:r>
      <w:r>
        <w:rPr>
          <w:rFonts w:hint="eastAsia" w:ascii="仿宋" w:hAnsi="仿宋" w:eastAsia="仿宋" w:cs="仿宋"/>
          <w:sz w:val="32"/>
          <w:szCs w:val="36"/>
        </w:rPr>
        <w:t>支部党建工作与专业发展深度融合模式研究</w:t>
      </w:r>
    </w:p>
    <w:p w14:paraId="513290E0">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pacing w:val="-11"/>
          <w:sz w:val="32"/>
          <w:szCs w:val="36"/>
        </w:rPr>
      </w:pPr>
      <w:r>
        <w:rPr>
          <w:rFonts w:hint="eastAsia" w:ascii="仿宋" w:hAnsi="仿宋" w:eastAsia="仿宋" w:cs="仿宋"/>
          <w:sz w:val="32"/>
          <w:szCs w:val="36"/>
          <w:lang w:val="en-US" w:eastAsia="zh-CN"/>
        </w:rPr>
        <w:t>46.</w:t>
      </w:r>
      <w:r>
        <w:rPr>
          <w:rFonts w:hint="eastAsia" w:ascii="仿宋" w:hAnsi="仿宋" w:eastAsia="仿宋" w:cs="仿宋"/>
          <w:spacing w:val="-11"/>
          <w:sz w:val="32"/>
          <w:szCs w:val="36"/>
        </w:rPr>
        <w:t>高校学生心理健康动态测评体系构建与精准干预策略研究</w:t>
      </w:r>
    </w:p>
    <w:p w14:paraId="5B509173">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47</w:t>
      </w:r>
      <w:r>
        <w:rPr>
          <w:rFonts w:hint="eastAsia" w:ascii="仿宋" w:hAnsi="仿宋" w:eastAsia="仿宋" w:cs="仿宋"/>
          <w:sz w:val="32"/>
          <w:szCs w:val="36"/>
        </w:rPr>
        <w:t>.职业教育学分银行制度建设与实践研究</w:t>
      </w:r>
    </w:p>
    <w:p w14:paraId="206FD9FB">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48</w:t>
      </w:r>
      <w:r>
        <w:rPr>
          <w:rFonts w:hint="eastAsia" w:ascii="仿宋" w:hAnsi="仿宋" w:eastAsia="仿宋" w:cs="仿宋"/>
          <w:sz w:val="32"/>
          <w:szCs w:val="36"/>
        </w:rPr>
        <w:t>.高职院校科研管理模式</w:t>
      </w:r>
      <w:r>
        <w:rPr>
          <w:rFonts w:hint="eastAsia" w:ascii="仿宋" w:hAnsi="仿宋" w:eastAsia="仿宋" w:cs="仿宋"/>
          <w:sz w:val="32"/>
          <w:szCs w:val="36"/>
          <w:lang w:val="en-US" w:eastAsia="zh-CN"/>
        </w:rPr>
        <w:t>创新</w:t>
      </w:r>
      <w:r>
        <w:rPr>
          <w:rFonts w:hint="eastAsia" w:ascii="仿宋" w:hAnsi="仿宋" w:eastAsia="仿宋" w:cs="仿宋"/>
          <w:sz w:val="32"/>
          <w:szCs w:val="36"/>
        </w:rPr>
        <w:t>研究</w:t>
      </w:r>
    </w:p>
    <w:p w14:paraId="38802890">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49</w:t>
      </w:r>
      <w:r>
        <w:rPr>
          <w:rFonts w:hint="eastAsia" w:ascii="仿宋" w:hAnsi="仿宋" w:eastAsia="仿宋" w:cs="仿宋"/>
          <w:sz w:val="32"/>
          <w:szCs w:val="36"/>
        </w:rPr>
        <w:t>.“新双高”视域下“校中厂”“厂中校”建设路径探索</w:t>
      </w:r>
    </w:p>
    <w:p w14:paraId="62C1CFA2">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50</w:t>
      </w:r>
      <w:r>
        <w:rPr>
          <w:rFonts w:hint="eastAsia" w:ascii="仿宋" w:hAnsi="仿宋" w:eastAsia="仿宋" w:cs="仿宋"/>
          <w:sz w:val="32"/>
          <w:szCs w:val="36"/>
        </w:rPr>
        <w:t>.低空经济赋能区域发展路径与应用场景研究</w:t>
      </w:r>
    </w:p>
    <w:p w14:paraId="4292079C">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51</w:t>
      </w:r>
      <w:r>
        <w:rPr>
          <w:rFonts w:hint="eastAsia" w:ascii="仿宋" w:hAnsi="仿宋" w:eastAsia="仿宋" w:cs="仿宋"/>
          <w:sz w:val="32"/>
          <w:szCs w:val="36"/>
        </w:rPr>
        <w:t>.智慧教育背景下高职学生工匠精神培育的路径研究</w:t>
      </w:r>
    </w:p>
    <w:p w14:paraId="162CB780">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52</w:t>
      </w:r>
      <w:r>
        <w:rPr>
          <w:rFonts w:hint="eastAsia" w:ascii="仿宋" w:hAnsi="仿宋" w:eastAsia="仿宋" w:cs="仿宋"/>
          <w:sz w:val="32"/>
          <w:szCs w:val="36"/>
        </w:rPr>
        <w:t>.数字时代职业教育与终身教育融合发展研究</w:t>
      </w:r>
    </w:p>
    <w:p w14:paraId="0B8A34BC">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53</w:t>
      </w:r>
      <w:r>
        <w:rPr>
          <w:rFonts w:hint="eastAsia" w:ascii="仿宋" w:hAnsi="仿宋" w:eastAsia="仿宋" w:cs="仿宋"/>
          <w:sz w:val="32"/>
          <w:szCs w:val="36"/>
        </w:rPr>
        <w:t>.数智时代地方高校课程评价体系提升路径研究</w:t>
      </w:r>
    </w:p>
    <w:p w14:paraId="07FB53AA">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b w:val="0"/>
          <w:bCs w:val="0"/>
          <w:sz w:val="32"/>
          <w:szCs w:val="36"/>
          <w:lang w:val="en-US" w:eastAsia="zh-CN"/>
        </w:rPr>
      </w:pPr>
      <w:r>
        <w:rPr>
          <w:rFonts w:hint="eastAsia" w:ascii="仿宋" w:hAnsi="仿宋" w:eastAsia="仿宋" w:cs="仿宋"/>
          <w:b w:val="0"/>
          <w:bCs w:val="0"/>
          <w:sz w:val="32"/>
          <w:szCs w:val="32"/>
          <w:lang w:val="en-US" w:eastAsia="zh-CN"/>
        </w:rPr>
        <w:t>54</w:t>
      </w:r>
      <w:r>
        <w:rPr>
          <w:rFonts w:hint="eastAsia" w:ascii="仿宋" w:hAnsi="仿宋" w:eastAsia="仿宋" w:cs="仿宋"/>
          <w:b w:val="0"/>
          <w:bCs w:val="0"/>
          <w:sz w:val="32"/>
          <w:szCs w:val="32"/>
        </w:rPr>
        <w:t>.</w:t>
      </w:r>
      <w:r>
        <w:rPr>
          <w:rFonts w:hint="eastAsia" w:ascii="仿宋" w:hAnsi="仿宋" w:eastAsia="仿宋" w:cs="仿宋"/>
          <w:b w:val="0"/>
          <w:bCs w:val="0"/>
          <w:sz w:val="32"/>
          <w:szCs w:val="36"/>
          <w:lang w:val="en-US" w:eastAsia="zh-CN"/>
        </w:rPr>
        <w:t>地方高校医教协同机制优化与临床教学基地建设研究</w:t>
      </w:r>
    </w:p>
    <w:p w14:paraId="2B46DB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F1774"/>
    <w:rsid w:val="6BBF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2025-05-07T07:27:00Z</dcterms:created>
  <dc:creator>六两</dc:creator>
  <cp:lastModifiedBy>六两</cp:lastModifiedBy>
  <dcterms:modified xsi:type="dcterms:W3CDTF">2025-05-07T07:30:29Z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02399329075745358A6949623F047DBD_11</vt:lpwstr>
  </property>
  <property fmtid="{D5CDD505-2E9C-101B-9397-08002B2CF9AE}" pid="4" name="KSOTemplateDocerSaveRecord">
    <vt:lpwstr>eyJoZGlkIjoiNzM1NTFkYmMyM2JiNTIzZTM0NGZmNDU5MGY4Yzg2ZWUiLCJ1c2VySWQiOiIyMjg2NDM0ODcifQ==</vt:lpwstr>
  </property>
</Properties>
</file>